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D01A" w14:textId="202DF6BA" w:rsidR="00B24166" w:rsidRDefault="00B24166" w:rsidP="00087304">
      <w:pPr>
        <w:jc w:val="center"/>
      </w:pPr>
      <w:r>
        <w:t>Le Grand Community Services District</w:t>
      </w:r>
    </w:p>
    <w:p w14:paraId="3299C155" w14:textId="5FDF3A61" w:rsidR="00B24166" w:rsidRDefault="00B24166" w:rsidP="00087304">
      <w:pPr>
        <w:jc w:val="center"/>
      </w:pPr>
      <w:r>
        <w:t xml:space="preserve">Procedure and Notice Requirements for Discontinue of Residential Water and Sewer Service </w:t>
      </w:r>
      <w:r w:rsidR="00087304">
        <w:t>for Non- Payment</w:t>
      </w:r>
    </w:p>
    <w:p w14:paraId="11CF83EB" w14:textId="3DF58412" w:rsidR="00087304" w:rsidRDefault="00087304" w:rsidP="00087304">
      <w:r>
        <w:t xml:space="preserve">Procedures: </w:t>
      </w:r>
    </w:p>
    <w:p w14:paraId="0ED883D4" w14:textId="052DE895" w:rsidR="00087304" w:rsidRDefault="00087304" w:rsidP="0086516A">
      <w:pPr>
        <w:pStyle w:val="ListParagraph"/>
        <w:numPr>
          <w:ilvl w:val="0"/>
          <w:numId w:val="2"/>
        </w:numPr>
        <w:rPr>
          <w:b/>
          <w:bCs/>
        </w:rPr>
      </w:pPr>
      <w:r w:rsidRPr="005E30F2">
        <w:rPr>
          <w:b/>
          <w:bCs/>
        </w:rPr>
        <w:t xml:space="preserve">Billing and Imposition of Late Penalty : </w:t>
      </w:r>
    </w:p>
    <w:p w14:paraId="4D405B11" w14:textId="77777777" w:rsidR="005E30F2" w:rsidRPr="005E30F2" w:rsidRDefault="005E30F2" w:rsidP="005E30F2">
      <w:pPr>
        <w:pStyle w:val="ListParagraph"/>
        <w:ind w:left="900"/>
        <w:rPr>
          <w:b/>
          <w:bCs/>
        </w:rPr>
      </w:pPr>
    </w:p>
    <w:p w14:paraId="036995F5" w14:textId="6B3AFD78" w:rsidR="00087304" w:rsidRPr="005E30F2" w:rsidRDefault="00087304" w:rsidP="005E30F2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The Finance Department shall mail a bill for water service to each customer every month. The customer shall have </w:t>
      </w:r>
      <w:r w:rsidR="00FC3AAA">
        <w:t>19</w:t>
      </w:r>
      <w:r>
        <w:t xml:space="preserve"> calendar days</w:t>
      </w:r>
      <w:r w:rsidR="009F2097">
        <w:t xml:space="preserve"> (grace period)</w:t>
      </w:r>
      <w:r>
        <w:t xml:space="preserve"> from the date on the bill to pay the bill. </w:t>
      </w:r>
    </w:p>
    <w:p w14:paraId="6462A3E4" w14:textId="2D433EBD" w:rsidR="005E30F2" w:rsidRPr="005E30F2" w:rsidRDefault="005E30F2" w:rsidP="005E30F2">
      <w:pPr>
        <w:pStyle w:val="ListParagraph"/>
        <w:numPr>
          <w:ilvl w:val="0"/>
          <w:numId w:val="3"/>
        </w:numPr>
        <w:rPr>
          <w:b/>
          <w:bCs/>
        </w:rPr>
      </w:pPr>
      <w:r>
        <w:t>The customer shall have 60 calendar days</w:t>
      </w:r>
      <w:r w:rsidR="009F2097">
        <w:t xml:space="preserve"> (grace period)</w:t>
      </w:r>
      <w:r>
        <w:t xml:space="preserve"> from the date on the bill to pay the bill before a late penalty is imposed. </w:t>
      </w:r>
    </w:p>
    <w:p w14:paraId="21EF98C3" w14:textId="03574BEB" w:rsidR="005E30F2" w:rsidRPr="00E317C0" w:rsidRDefault="005E30F2" w:rsidP="005E30F2">
      <w:pPr>
        <w:pStyle w:val="ListParagraph"/>
        <w:numPr>
          <w:ilvl w:val="0"/>
          <w:numId w:val="3"/>
        </w:numPr>
        <w:rPr>
          <w:b/>
          <w:bCs/>
        </w:rPr>
      </w:pPr>
      <w:r>
        <w:t>If payment</w:t>
      </w:r>
      <w:r w:rsidR="00CE6279">
        <w:t>, in full, is not received by the end of the 60</w:t>
      </w:r>
      <w:r w:rsidR="00CE6279" w:rsidRPr="00CE6279">
        <w:rPr>
          <w:vertAlign w:val="superscript"/>
        </w:rPr>
        <w:t>th</w:t>
      </w:r>
      <w:r w:rsidR="00CE6279">
        <w:t xml:space="preserve"> calendar day from the date on the bill, the bill will be considered delinquent. A ten (10) percent late penalty will be imposed on the amount delinquent.</w:t>
      </w:r>
      <w:r w:rsidR="00E317C0">
        <w:t xml:space="preserve"> </w:t>
      </w:r>
    </w:p>
    <w:p w14:paraId="470820B5" w14:textId="10439189" w:rsidR="00E317C0" w:rsidRPr="00CE6279" w:rsidRDefault="00E317C0" w:rsidP="005E30F2">
      <w:pPr>
        <w:pStyle w:val="ListParagraph"/>
        <w:numPr>
          <w:ilvl w:val="0"/>
          <w:numId w:val="3"/>
        </w:numPr>
        <w:rPr>
          <w:b/>
          <w:bCs/>
        </w:rPr>
      </w:pPr>
      <w:r>
        <w:t>If payment, in full, is not received by the end of the 60</w:t>
      </w:r>
      <w:r w:rsidRPr="00CE6279">
        <w:rPr>
          <w:vertAlign w:val="superscript"/>
        </w:rPr>
        <w:t>th</w:t>
      </w:r>
      <w:r>
        <w:t xml:space="preserve"> calendar day from the date on the bill, the bill will be considered delinquent</w:t>
      </w:r>
      <w:r w:rsidR="00781A8C">
        <w:t xml:space="preserve"> at this time a may be placed real property for unpaid utility charges. </w:t>
      </w:r>
    </w:p>
    <w:p w14:paraId="07EC2361" w14:textId="6392D796" w:rsidR="00CE6279" w:rsidRDefault="00CE6279" w:rsidP="00CE6279">
      <w:pPr>
        <w:pStyle w:val="ListParagraph"/>
        <w:ind w:left="1260"/>
        <w:rPr>
          <w:b/>
          <w:bCs/>
        </w:rPr>
      </w:pPr>
    </w:p>
    <w:p w14:paraId="13657900" w14:textId="326A3217" w:rsidR="00CE6279" w:rsidRDefault="00CE6279" w:rsidP="0086516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Initial Written Courtesy Notice of Payment Delinquency and Impending Discontinuation of Service for Nonpayment</w:t>
      </w:r>
    </w:p>
    <w:p w14:paraId="2F107380" w14:textId="77777777" w:rsidR="009F2097" w:rsidRDefault="009F2097" w:rsidP="009F2097">
      <w:pPr>
        <w:pStyle w:val="ListParagraph"/>
        <w:ind w:left="900"/>
        <w:rPr>
          <w:b/>
          <w:bCs/>
        </w:rPr>
      </w:pPr>
    </w:p>
    <w:p w14:paraId="0A29F6FF" w14:textId="6C64CD37" w:rsidR="00CE6279" w:rsidRPr="00DB0274" w:rsidRDefault="009F2097" w:rsidP="00CE6279">
      <w:pPr>
        <w:pStyle w:val="ListParagraph"/>
        <w:numPr>
          <w:ilvl w:val="0"/>
          <w:numId w:val="4"/>
        </w:numPr>
        <w:rPr>
          <w:b/>
          <w:bCs/>
        </w:rPr>
      </w:pPr>
      <w:r>
        <w:t>If payment is not received during the grace period, then on or after the 31</w:t>
      </w:r>
      <w:r w:rsidRPr="009F2097">
        <w:rPr>
          <w:vertAlign w:val="superscript"/>
        </w:rPr>
        <w:t>st</w:t>
      </w:r>
      <w:r>
        <w:t xml:space="preserve"> calendar day following the date on the initial bill, an Initial Written Courtesy Notice of Payment </w:t>
      </w:r>
      <w:r w:rsidR="00DB0274">
        <w:t>Delinquency,</w:t>
      </w:r>
      <w:r>
        <w:t xml:space="preserve"> and Impending Discontinuation of Service for Nonpayment (“Initial Notice”)</w:t>
      </w:r>
      <w:r w:rsidR="00DB0274">
        <w:t xml:space="preserve"> shall be mailed to the customer of the residence to which residence service is provided. </w:t>
      </w:r>
    </w:p>
    <w:p w14:paraId="754BEDDB" w14:textId="5A5A9A1D" w:rsidR="00DB0274" w:rsidRDefault="00DB0274" w:rsidP="00DB0274">
      <w:pPr>
        <w:pStyle w:val="ListParagraph"/>
        <w:ind w:left="900"/>
      </w:pPr>
    </w:p>
    <w:p w14:paraId="60D72F63" w14:textId="4D781CAE" w:rsidR="00DB0274" w:rsidRDefault="00DB0274" w:rsidP="00DB02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Second Notice of Delinquency and Impending Discontinuation of Service for Nonpayment</w:t>
      </w:r>
    </w:p>
    <w:p w14:paraId="13F12A83" w14:textId="25F89B43" w:rsidR="00DB0274" w:rsidRDefault="00DB0274" w:rsidP="00DB0274">
      <w:pPr>
        <w:pStyle w:val="ListParagraph"/>
        <w:ind w:left="900"/>
        <w:rPr>
          <w:b/>
          <w:bCs/>
        </w:rPr>
      </w:pPr>
    </w:p>
    <w:p w14:paraId="4D69319B" w14:textId="0C36DF64" w:rsidR="00DB0274" w:rsidRPr="0086516A" w:rsidRDefault="0002271E" w:rsidP="00DB0274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If payment is not received with the 14 calendar days from the date on the Initial Notice, a Second Notice of Delinquency and Impending Discontinuation of Service for Nonpayment </w:t>
      </w:r>
      <w:r w:rsidR="0086516A">
        <w:t>(“Second Notice”)</w:t>
      </w:r>
      <w:r>
        <w:t xml:space="preserve"> </w:t>
      </w:r>
      <w:r w:rsidR="0086516A">
        <w:t xml:space="preserve">shall be mailed to the customer of the residence to which residential service is provided. </w:t>
      </w:r>
    </w:p>
    <w:p w14:paraId="3024BA99" w14:textId="2233F3FD" w:rsidR="0086516A" w:rsidRDefault="0086516A" w:rsidP="0086516A">
      <w:pPr>
        <w:pStyle w:val="ListParagraph"/>
        <w:ind w:left="900"/>
      </w:pPr>
    </w:p>
    <w:p w14:paraId="3E23EE94" w14:textId="41244DE4" w:rsidR="0086516A" w:rsidRDefault="0086516A" w:rsidP="0086516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Final Notice of Delinquency and Discontinuation of Service for Nonpayment</w:t>
      </w:r>
    </w:p>
    <w:p w14:paraId="28CD0AB5" w14:textId="5D20844A" w:rsidR="0086516A" w:rsidRDefault="0086516A" w:rsidP="0086516A">
      <w:pPr>
        <w:pStyle w:val="ListParagraph"/>
        <w:ind w:left="900"/>
        <w:rPr>
          <w:b/>
          <w:bCs/>
        </w:rPr>
      </w:pPr>
    </w:p>
    <w:p w14:paraId="437FF01C" w14:textId="7771CA57" w:rsidR="0086516A" w:rsidRPr="00E317C0" w:rsidRDefault="0086516A" w:rsidP="0086516A">
      <w:pPr>
        <w:pStyle w:val="ListParagraph"/>
        <w:numPr>
          <w:ilvl w:val="0"/>
          <w:numId w:val="4"/>
        </w:numPr>
        <w:rPr>
          <w:b/>
          <w:bCs/>
        </w:rPr>
      </w:pPr>
      <w:r>
        <w:t>If payment is not received within 14 calendar days from the date on the Second Notice of Delinquency and Discontinuation of Service for Nonpayment (Final Notice) shall be mailed to the c</w:t>
      </w:r>
      <w:r w:rsidR="00E317C0">
        <w:t>ustomer of the residence to which residential service is provided.</w:t>
      </w:r>
    </w:p>
    <w:p w14:paraId="636C7313" w14:textId="52878953" w:rsidR="00E317C0" w:rsidRDefault="00E317C0" w:rsidP="00E317C0">
      <w:pPr>
        <w:pStyle w:val="ListParagraph"/>
        <w:ind w:left="1620"/>
      </w:pPr>
    </w:p>
    <w:p w14:paraId="34AC24CC" w14:textId="4B0C7250" w:rsidR="00E317C0" w:rsidRDefault="00E317C0" w:rsidP="00E317C0">
      <w:pPr>
        <w:pStyle w:val="ListParagraph"/>
        <w:ind w:left="1620"/>
      </w:pPr>
    </w:p>
    <w:p w14:paraId="378A367D" w14:textId="52C6DC69" w:rsidR="00E317C0" w:rsidRDefault="00E317C0" w:rsidP="00AF7D9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Pursuant to California He</w:t>
      </w:r>
      <w:r w:rsidR="00AF7D99">
        <w:rPr>
          <w:b/>
          <w:bCs/>
        </w:rPr>
        <w:t>alth and Safety Code section 116908(a)(1)(C), the Final Notice shall include all of the following information:</w:t>
      </w:r>
    </w:p>
    <w:p w14:paraId="32029803" w14:textId="77777777" w:rsidR="003E3A55" w:rsidRDefault="003E3A55" w:rsidP="003E3A55">
      <w:pPr>
        <w:pStyle w:val="ListParagraph"/>
        <w:ind w:left="3060"/>
        <w:rPr>
          <w:b/>
          <w:bCs/>
        </w:rPr>
      </w:pPr>
    </w:p>
    <w:p w14:paraId="05128340" w14:textId="3241D6B6" w:rsidR="00AF7D99" w:rsidRDefault="00AF7D99" w:rsidP="00AF7D99">
      <w:pPr>
        <w:pStyle w:val="ListParagraph"/>
        <w:ind w:left="3060"/>
        <w:rPr>
          <w:b/>
          <w:bCs/>
        </w:rPr>
      </w:pPr>
    </w:p>
    <w:p w14:paraId="22D6E141" w14:textId="0EBCDE66" w:rsidR="00AF7D99" w:rsidRDefault="001E70E3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The Customer’s name and address</w:t>
      </w:r>
    </w:p>
    <w:p w14:paraId="7EACA7B2" w14:textId="7404616C" w:rsidR="00AD2354" w:rsidRDefault="00AD2354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The am</w:t>
      </w:r>
      <w:r w:rsidR="001A5107">
        <w:rPr>
          <w:b/>
          <w:bCs/>
        </w:rPr>
        <w:t>ount of the del</w:t>
      </w:r>
      <w:r w:rsidR="00A32E75">
        <w:rPr>
          <w:b/>
          <w:bCs/>
        </w:rPr>
        <w:t>inquency</w:t>
      </w:r>
    </w:p>
    <w:p w14:paraId="671A6DDC" w14:textId="1CD5FB03" w:rsidR="00A32E75" w:rsidRDefault="00A32E75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The date by which payment </w:t>
      </w:r>
      <w:r w:rsidR="009F5109">
        <w:rPr>
          <w:b/>
          <w:bCs/>
        </w:rPr>
        <w:t xml:space="preserve">or </w:t>
      </w:r>
      <w:r w:rsidR="00E96399">
        <w:rPr>
          <w:b/>
          <w:bCs/>
        </w:rPr>
        <w:t xml:space="preserve">arrangement for payment is required in order to avoid </w:t>
      </w:r>
      <w:r w:rsidR="00D030EC">
        <w:rPr>
          <w:b/>
          <w:bCs/>
        </w:rPr>
        <w:t>discontinuation of residen</w:t>
      </w:r>
      <w:r w:rsidR="00DC0436">
        <w:rPr>
          <w:b/>
          <w:bCs/>
        </w:rPr>
        <w:t xml:space="preserve">tial service. </w:t>
      </w:r>
    </w:p>
    <w:p w14:paraId="580B5245" w14:textId="6150DD13" w:rsidR="00DC0436" w:rsidRDefault="006C6A17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 description of the process to apply for an </w:t>
      </w:r>
      <w:r w:rsidR="00592B2C">
        <w:rPr>
          <w:b/>
          <w:bCs/>
        </w:rPr>
        <w:t>ex</w:t>
      </w:r>
      <w:r w:rsidR="00DC569A">
        <w:rPr>
          <w:b/>
          <w:bCs/>
        </w:rPr>
        <w:t>tension of time to pay the de</w:t>
      </w:r>
      <w:r w:rsidR="00CE2C01">
        <w:rPr>
          <w:b/>
          <w:bCs/>
        </w:rPr>
        <w:t>linquent charges.</w:t>
      </w:r>
    </w:p>
    <w:p w14:paraId="763DFCA3" w14:textId="6EBA93EE" w:rsidR="00CE2C01" w:rsidRDefault="00CE2C01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 description of the procedu</w:t>
      </w:r>
      <w:r w:rsidR="00707387">
        <w:rPr>
          <w:b/>
          <w:bCs/>
        </w:rPr>
        <w:t xml:space="preserve">re by which </w:t>
      </w:r>
      <w:r w:rsidR="00723C8A">
        <w:rPr>
          <w:b/>
          <w:bCs/>
        </w:rPr>
        <w:t>t</w:t>
      </w:r>
      <w:r w:rsidR="00FE3324">
        <w:rPr>
          <w:b/>
          <w:bCs/>
        </w:rPr>
        <w:t>h</w:t>
      </w:r>
      <w:r w:rsidR="00723C8A">
        <w:rPr>
          <w:b/>
          <w:bCs/>
        </w:rPr>
        <w:t xml:space="preserve">e customer may request </w:t>
      </w:r>
      <w:r w:rsidR="00EC1D73">
        <w:rPr>
          <w:b/>
          <w:bCs/>
        </w:rPr>
        <w:t>the amor</w:t>
      </w:r>
      <w:r w:rsidR="00DC779B">
        <w:rPr>
          <w:b/>
          <w:bCs/>
        </w:rPr>
        <w:t>tization of delinquent charges for domestic water and</w:t>
      </w:r>
      <w:r w:rsidR="00FE3EFA">
        <w:rPr>
          <w:b/>
          <w:bCs/>
        </w:rPr>
        <w:t>/or domestic water and sewer services</w:t>
      </w:r>
      <w:r w:rsidR="009358E1">
        <w:rPr>
          <w:b/>
          <w:bCs/>
        </w:rPr>
        <w:t xml:space="preserve">. </w:t>
      </w:r>
    </w:p>
    <w:p w14:paraId="192C836B" w14:textId="26C51C54" w:rsidR="003A1988" w:rsidRDefault="00FE3324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 description of the </w:t>
      </w:r>
      <w:r w:rsidR="00A61E2F">
        <w:rPr>
          <w:b/>
          <w:bCs/>
        </w:rPr>
        <w:t xml:space="preserve">procedure to </w:t>
      </w:r>
      <w:r w:rsidR="00055055">
        <w:rPr>
          <w:b/>
          <w:bCs/>
        </w:rPr>
        <w:t xml:space="preserve">petition for bill review and appeal. </w:t>
      </w:r>
    </w:p>
    <w:p w14:paraId="72DC84E6" w14:textId="3FC1DA9E" w:rsidR="00493A2E" w:rsidRDefault="00ED2D0A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The proposed date of discon</w:t>
      </w:r>
      <w:r w:rsidR="008E1DFD">
        <w:rPr>
          <w:b/>
          <w:bCs/>
        </w:rPr>
        <w:t xml:space="preserve">tinuation of service shall be </w:t>
      </w:r>
      <w:r w:rsidR="00F51C10">
        <w:rPr>
          <w:b/>
          <w:bCs/>
        </w:rPr>
        <w:t xml:space="preserve">at least 60 </w:t>
      </w:r>
      <w:r w:rsidR="00585655">
        <w:rPr>
          <w:b/>
          <w:bCs/>
        </w:rPr>
        <w:t xml:space="preserve">calendar days from the date on the </w:t>
      </w:r>
      <w:r w:rsidR="003E3262">
        <w:rPr>
          <w:b/>
          <w:bCs/>
        </w:rPr>
        <w:t xml:space="preserve">initial bill and at least seven (7) business days from the </w:t>
      </w:r>
      <w:r w:rsidR="007E14BB">
        <w:rPr>
          <w:b/>
          <w:bCs/>
        </w:rPr>
        <w:t>date of the Final Notice</w:t>
      </w:r>
      <w:r w:rsidR="00C05E70">
        <w:rPr>
          <w:b/>
          <w:bCs/>
        </w:rPr>
        <w:t xml:space="preserve">. </w:t>
      </w:r>
    </w:p>
    <w:p w14:paraId="0AECBC8A" w14:textId="13E19D88" w:rsidR="00C05E70" w:rsidRDefault="002767BD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The Final Notice shall be in English, the </w:t>
      </w:r>
      <w:r w:rsidR="00A05E97">
        <w:rPr>
          <w:b/>
          <w:bCs/>
        </w:rPr>
        <w:t>language lang</w:t>
      </w:r>
      <w:r w:rsidR="003D3D64">
        <w:rPr>
          <w:b/>
          <w:bCs/>
        </w:rPr>
        <w:t xml:space="preserve">uages listed in Section 1632 of the Civil </w:t>
      </w:r>
      <w:r w:rsidR="000947C1">
        <w:rPr>
          <w:b/>
          <w:bCs/>
        </w:rPr>
        <w:t xml:space="preserve">Code, and any languages spoken by 10 percent or more of the </w:t>
      </w:r>
      <w:r w:rsidR="00516E91">
        <w:rPr>
          <w:b/>
          <w:bCs/>
        </w:rPr>
        <w:t xml:space="preserve">customers in the city’s water system service area. </w:t>
      </w:r>
    </w:p>
    <w:p w14:paraId="5165175D" w14:textId="6FBFE482" w:rsidR="00ED63D8" w:rsidRDefault="00D65F7D" w:rsidP="00AF7D9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If the customer’s address is not the address of the property to </w:t>
      </w:r>
      <w:r w:rsidR="00496D96">
        <w:rPr>
          <w:b/>
          <w:bCs/>
        </w:rPr>
        <w:t>which residential service</w:t>
      </w:r>
      <w:r w:rsidR="00CF2034">
        <w:rPr>
          <w:b/>
          <w:bCs/>
        </w:rPr>
        <w:t xml:space="preserve"> is provided, </w:t>
      </w:r>
      <w:r w:rsidR="0014038E">
        <w:rPr>
          <w:b/>
          <w:bCs/>
        </w:rPr>
        <w:t xml:space="preserve">the final notice shall also be sent to the address of the property </w:t>
      </w:r>
      <w:r w:rsidR="00C15FF0">
        <w:rPr>
          <w:b/>
          <w:bCs/>
        </w:rPr>
        <w:t xml:space="preserve">to which the service is provided addressed to Occupant. </w:t>
      </w:r>
    </w:p>
    <w:p w14:paraId="2FAE2F5C" w14:textId="7CFD0BDA" w:rsidR="006A7377" w:rsidRDefault="006A7377" w:rsidP="006A7377">
      <w:pPr>
        <w:pStyle w:val="ListParagraph"/>
        <w:ind w:left="1620"/>
        <w:rPr>
          <w:b/>
          <w:bCs/>
        </w:rPr>
      </w:pPr>
    </w:p>
    <w:p w14:paraId="12BCA7C8" w14:textId="116D0D4D" w:rsidR="006A7377" w:rsidRDefault="006A7377" w:rsidP="006A737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Additional Courtesy Notifications</w:t>
      </w:r>
    </w:p>
    <w:p w14:paraId="1FA3F2EE" w14:textId="6FAB5186" w:rsidR="006A7377" w:rsidRDefault="006A7377" w:rsidP="006A7377">
      <w:pPr>
        <w:pStyle w:val="ListParagraph"/>
        <w:ind w:left="900"/>
        <w:rPr>
          <w:b/>
          <w:bCs/>
        </w:rPr>
      </w:pPr>
    </w:p>
    <w:p w14:paraId="1A63834F" w14:textId="6FE77589" w:rsidR="006A7377" w:rsidRPr="003330D9" w:rsidRDefault="00C27798" w:rsidP="006A7377">
      <w:pPr>
        <w:pStyle w:val="ListParagraph"/>
        <w:numPr>
          <w:ilvl w:val="0"/>
          <w:numId w:val="7"/>
        </w:numPr>
      </w:pPr>
      <w:r w:rsidRPr="003330D9">
        <w:t>The same day the Final Notice is mailed, a</w:t>
      </w:r>
      <w:r w:rsidR="00FA3F35" w:rsidRPr="003330D9">
        <w:t xml:space="preserve"> courtesy telephone call will be placed ins</w:t>
      </w:r>
      <w:r w:rsidR="003E23B3" w:rsidRPr="003330D9">
        <w:t>tructing the customer to call the District Office regarding the stat</w:t>
      </w:r>
      <w:r w:rsidR="003330D9" w:rsidRPr="003330D9">
        <w:t xml:space="preserve">us of their utility account. </w:t>
      </w:r>
    </w:p>
    <w:p w14:paraId="756BB7F4" w14:textId="3567CD9C" w:rsidR="00AF7D99" w:rsidRDefault="00AF7D99" w:rsidP="00AF7D99">
      <w:pPr>
        <w:pStyle w:val="ListParagraph"/>
        <w:ind w:left="3060"/>
        <w:rPr>
          <w:b/>
          <w:bCs/>
        </w:rPr>
      </w:pPr>
    </w:p>
    <w:p w14:paraId="6A47A127" w14:textId="33B70F36" w:rsidR="00A05E98" w:rsidRDefault="00B6393B" w:rsidP="00A05E9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</w:t>
      </w:r>
      <w:r w:rsidR="007A290A">
        <w:rPr>
          <w:b/>
          <w:bCs/>
        </w:rPr>
        <w:t xml:space="preserve">continuation of Residential </w:t>
      </w:r>
      <w:r w:rsidR="00FB43BF">
        <w:rPr>
          <w:b/>
          <w:bCs/>
        </w:rPr>
        <w:t xml:space="preserve">Water and Sewer </w:t>
      </w:r>
      <w:r w:rsidR="007A290A">
        <w:rPr>
          <w:b/>
          <w:bCs/>
        </w:rPr>
        <w:t xml:space="preserve">Service for </w:t>
      </w:r>
      <w:r w:rsidR="00FB43BF">
        <w:rPr>
          <w:b/>
          <w:bCs/>
        </w:rPr>
        <w:t xml:space="preserve">Residential </w:t>
      </w:r>
      <w:r w:rsidR="00BF67C8">
        <w:rPr>
          <w:b/>
          <w:bCs/>
        </w:rPr>
        <w:t>Nonpayment</w:t>
      </w:r>
    </w:p>
    <w:p w14:paraId="10CF5DF1" w14:textId="7E53996C" w:rsidR="00634611" w:rsidRDefault="00634611" w:rsidP="00634611">
      <w:pPr>
        <w:pStyle w:val="ListParagraph"/>
        <w:ind w:left="900"/>
        <w:rPr>
          <w:b/>
          <w:bCs/>
        </w:rPr>
      </w:pPr>
    </w:p>
    <w:p w14:paraId="6831D13F" w14:textId="6A3376F3" w:rsidR="00634611" w:rsidRDefault="00937A4E" w:rsidP="00634611">
      <w:pPr>
        <w:pStyle w:val="ListParagraph"/>
        <w:numPr>
          <w:ilvl w:val="0"/>
          <w:numId w:val="7"/>
        </w:numPr>
      </w:pPr>
      <w:r w:rsidRPr="00C7566B">
        <w:t xml:space="preserve">If the delinquent customer does not make </w:t>
      </w:r>
      <w:r w:rsidR="003B579E" w:rsidRPr="00C7566B">
        <w:t xml:space="preserve">the required payment, request </w:t>
      </w:r>
      <w:r w:rsidR="00CD4E05" w:rsidRPr="00C7566B">
        <w:t xml:space="preserve">an </w:t>
      </w:r>
      <w:r w:rsidR="00C7566B" w:rsidRPr="00C7566B">
        <w:t>appeal,</w:t>
      </w:r>
      <w:r w:rsidR="00CE4934" w:rsidRPr="00C7566B">
        <w:t xml:space="preserve"> or request a payment a</w:t>
      </w:r>
      <w:r w:rsidR="00DD5D92" w:rsidRPr="00C7566B">
        <w:t xml:space="preserve">greement for the unpaid charges, water service </w:t>
      </w:r>
      <w:r w:rsidR="00B6173B" w:rsidRPr="00C7566B">
        <w:t xml:space="preserve">shall be terminated by the Public Works Department on the date </w:t>
      </w:r>
      <w:r w:rsidR="0028722D" w:rsidRPr="00C7566B">
        <w:t>spe</w:t>
      </w:r>
      <w:r w:rsidR="00C7566B" w:rsidRPr="00C7566B">
        <w:t>cified in the Final Notice.</w:t>
      </w:r>
    </w:p>
    <w:p w14:paraId="536728B6" w14:textId="1729AC1D" w:rsidR="00C7566B" w:rsidRDefault="00CD204B" w:rsidP="00634611">
      <w:pPr>
        <w:pStyle w:val="ListParagraph"/>
        <w:numPr>
          <w:ilvl w:val="0"/>
          <w:numId w:val="7"/>
        </w:numPr>
      </w:pPr>
      <w:r>
        <w:t xml:space="preserve">The date of discontinuation of services </w:t>
      </w:r>
      <w:r w:rsidR="00D34492">
        <w:t xml:space="preserve">shall be at least 60 calendar </w:t>
      </w:r>
      <w:r w:rsidR="004C7B03">
        <w:t xml:space="preserve">days from the date on the initial bill </w:t>
      </w:r>
      <w:r w:rsidR="002D238C">
        <w:t xml:space="preserve">and at least seven (7) business </w:t>
      </w:r>
      <w:r w:rsidR="006377C9">
        <w:t xml:space="preserve">days from the date of the Final Notice. </w:t>
      </w:r>
    </w:p>
    <w:p w14:paraId="34BC8A2F" w14:textId="400E0903" w:rsidR="00AC4B5B" w:rsidRDefault="00AC4B5B" w:rsidP="00AC4B5B">
      <w:pPr>
        <w:pStyle w:val="ListParagraph"/>
        <w:ind w:left="1620"/>
      </w:pPr>
    </w:p>
    <w:p w14:paraId="757C8D0E" w14:textId="6928D294" w:rsidR="00AC4B5B" w:rsidRDefault="00F54523" w:rsidP="000D550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Discontinuation </w:t>
      </w:r>
      <w:r w:rsidR="009F0280">
        <w:rPr>
          <w:b/>
          <w:bCs/>
        </w:rPr>
        <w:t>of</w:t>
      </w:r>
      <w:r>
        <w:rPr>
          <w:b/>
          <w:bCs/>
        </w:rPr>
        <w:t xml:space="preserve"> Residential Water</w:t>
      </w:r>
      <w:r w:rsidR="00681139">
        <w:rPr>
          <w:b/>
          <w:bCs/>
        </w:rPr>
        <w:t xml:space="preserve"> and Sewer</w:t>
      </w:r>
      <w:r>
        <w:rPr>
          <w:b/>
          <w:bCs/>
        </w:rPr>
        <w:t xml:space="preserve"> Service </w:t>
      </w:r>
      <w:r w:rsidR="009F0280">
        <w:rPr>
          <w:b/>
          <w:bCs/>
        </w:rPr>
        <w:t>for Nonpayment Restrained</w:t>
      </w:r>
    </w:p>
    <w:p w14:paraId="39B942A4" w14:textId="133E5523" w:rsidR="009F0280" w:rsidRDefault="009F0280" w:rsidP="009F0280">
      <w:pPr>
        <w:pStyle w:val="ListParagraph"/>
        <w:ind w:left="900"/>
        <w:rPr>
          <w:b/>
          <w:bCs/>
        </w:rPr>
      </w:pPr>
    </w:p>
    <w:p w14:paraId="5954E519" w14:textId="3FB6648D" w:rsidR="009F0280" w:rsidRDefault="003636A1" w:rsidP="009F0280">
      <w:pPr>
        <w:pStyle w:val="ListParagraph"/>
        <w:numPr>
          <w:ilvl w:val="0"/>
          <w:numId w:val="8"/>
        </w:numPr>
        <w:rPr>
          <w:b/>
          <w:bCs/>
        </w:rPr>
      </w:pPr>
      <w:r w:rsidRPr="008E20A1">
        <w:rPr>
          <w:b/>
          <w:bCs/>
        </w:rPr>
        <w:t xml:space="preserve">Discontinuation </w:t>
      </w:r>
      <w:r w:rsidR="00902BE6" w:rsidRPr="008E20A1">
        <w:rPr>
          <w:b/>
          <w:bCs/>
        </w:rPr>
        <w:t xml:space="preserve">of residential water </w:t>
      </w:r>
      <w:r w:rsidR="00681139" w:rsidRPr="008E20A1">
        <w:rPr>
          <w:b/>
          <w:bCs/>
        </w:rPr>
        <w:t xml:space="preserve">and sewer </w:t>
      </w:r>
      <w:r w:rsidR="00902BE6" w:rsidRPr="008E20A1">
        <w:rPr>
          <w:b/>
          <w:bCs/>
        </w:rPr>
        <w:t>service</w:t>
      </w:r>
      <w:r w:rsidR="00681139" w:rsidRPr="008E20A1">
        <w:rPr>
          <w:b/>
          <w:bCs/>
        </w:rPr>
        <w:t xml:space="preserve"> for </w:t>
      </w:r>
      <w:r w:rsidR="00A421DB" w:rsidRPr="008E20A1">
        <w:rPr>
          <w:b/>
          <w:bCs/>
        </w:rPr>
        <w:t>non-payment</w:t>
      </w:r>
      <w:r w:rsidR="00681139" w:rsidRPr="008E20A1">
        <w:rPr>
          <w:b/>
          <w:bCs/>
        </w:rPr>
        <w:t xml:space="preserve"> </w:t>
      </w:r>
      <w:r w:rsidR="00455040" w:rsidRPr="008E20A1">
        <w:rPr>
          <w:b/>
          <w:bCs/>
        </w:rPr>
        <w:t xml:space="preserve">is restrained </w:t>
      </w:r>
      <w:r w:rsidR="00773CD9" w:rsidRPr="008E20A1">
        <w:rPr>
          <w:b/>
          <w:bCs/>
        </w:rPr>
        <w:t>in the following instances:</w:t>
      </w:r>
    </w:p>
    <w:p w14:paraId="533C4A91" w14:textId="4B05723E" w:rsidR="008E20A1" w:rsidRDefault="008E20A1" w:rsidP="008E20A1">
      <w:pPr>
        <w:pStyle w:val="ListParagraph"/>
        <w:ind w:left="1620"/>
        <w:rPr>
          <w:b/>
          <w:bCs/>
        </w:rPr>
      </w:pPr>
    </w:p>
    <w:p w14:paraId="2AFC9F00" w14:textId="1564DE15" w:rsidR="008E20A1" w:rsidRPr="006F6258" w:rsidRDefault="006F6258" w:rsidP="008E20A1">
      <w:pPr>
        <w:pStyle w:val="ListParagraph"/>
        <w:numPr>
          <w:ilvl w:val="0"/>
          <w:numId w:val="8"/>
        </w:numPr>
        <w:rPr>
          <w:b/>
          <w:bCs/>
        </w:rPr>
      </w:pPr>
      <w:r>
        <w:lastRenderedPageBreak/>
        <w:t xml:space="preserve">While an appeal is pending </w:t>
      </w:r>
    </w:p>
    <w:p w14:paraId="324607C8" w14:textId="77777777" w:rsidR="006F6258" w:rsidRPr="006F6258" w:rsidRDefault="006F6258" w:rsidP="006F6258">
      <w:pPr>
        <w:pStyle w:val="ListParagraph"/>
        <w:rPr>
          <w:b/>
          <w:bCs/>
        </w:rPr>
      </w:pPr>
    </w:p>
    <w:p w14:paraId="59A88D6A" w14:textId="138F60CB" w:rsidR="006F6258" w:rsidRPr="00EC0C6B" w:rsidRDefault="004217BD" w:rsidP="008E20A1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During a </w:t>
      </w:r>
      <w:r w:rsidR="00B65A8F">
        <w:t xml:space="preserve">pending investigation by the District of a customer </w:t>
      </w:r>
      <w:r w:rsidR="00AE43F7">
        <w:t>complaint</w:t>
      </w:r>
      <w:r w:rsidR="002E5BC2">
        <w:t xml:space="preserve">. </w:t>
      </w:r>
    </w:p>
    <w:p w14:paraId="362DBAFC" w14:textId="77777777" w:rsidR="00EC0C6B" w:rsidRPr="00EC0C6B" w:rsidRDefault="00EC0C6B" w:rsidP="00EC0C6B">
      <w:pPr>
        <w:pStyle w:val="ListParagraph"/>
        <w:rPr>
          <w:b/>
          <w:bCs/>
        </w:rPr>
      </w:pPr>
    </w:p>
    <w:p w14:paraId="7E8101C4" w14:textId="34487268" w:rsidR="00EC0C6B" w:rsidRPr="00216728" w:rsidRDefault="00EC0C6B" w:rsidP="008E20A1">
      <w:pPr>
        <w:pStyle w:val="ListParagraph"/>
        <w:numPr>
          <w:ilvl w:val="0"/>
          <w:numId w:val="8"/>
        </w:numPr>
        <w:rPr>
          <w:b/>
          <w:bCs/>
        </w:rPr>
      </w:pPr>
      <w:r>
        <w:t>W</w:t>
      </w:r>
      <w:r w:rsidR="008D41FD">
        <w:t xml:space="preserve">hen the </w:t>
      </w:r>
      <w:r w:rsidR="001233B8">
        <w:t xml:space="preserve">customer has been granted an extension of </w:t>
      </w:r>
      <w:r w:rsidR="00D276BD">
        <w:t xml:space="preserve">the period for payment of a bill. </w:t>
      </w:r>
    </w:p>
    <w:p w14:paraId="4385BFDE" w14:textId="77777777" w:rsidR="00216728" w:rsidRPr="00216728" w:rsidRDefault="00216728" w:rsidP="00216728">
      <w:pPr>
        <w:pStyle w:val="ListParagraph"/>
        <w:rPr>
          <w:b/>
          <w:bCs/>
        </w:rPr>
      </w:pPr>
    </w:p>
    <w:p w14:paraId="5A59D679" w14:textId="5922CF9C" w:rsidR="00216728" w:rsidRPr="006352CB" w:rsidRDefault="00216728" w:rsidP="008E20A1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Primary </w:t>
      </w:r>
      <w:r w:rsidR="00081DC4">
        <w:t xml:space="preserve">care provider certification </w:t>
      </w:r>
      <w:r w:rsidR="000D2F41">
        <w:t>of t</w:t>
      </w:r>
      <w:r w:rsidR="000F26A8">
        <w:t>hreat to life or serious threat to he</w:t>
      </w:r>
      <w:r w:rsidR="006352CB">
        <w:t>alth and safety of a resident of premises.</w:t>
      </w:r>
    </w:p>
    <w:p w14:paraId="7C657A36" w14:textId="77777777" w:rsidR="006352CB" w:rsidRPr="006352CB" w:rsidRDefault="006352CB" w:rsidP="006352CB">
      <w:pPr>
        <w:pStyle w:val="ListParagraph"/>
        <w:rPr>
          <w:b/>
          <w:bCs/>
        </w:rPr>
      </w:pPr>
    </w:p>
    <w:p w14:paraId="27838A83" w14:textId="7D9A0BE2" w:rsidR="006352CB" w:rsidRPr="0068021C" w:rsidRDefault="00E8113A" w:rsidP="00AC495A">
      <w:pPr>
        <w:pStyle w:val="ListParagraph"/>
        <w:numPr>
          <w:ilvl w:val="5"/>
          <w:numId w:val="9"/>
        </w:numPr>
        <w:rPr>
          <w:b/>
          <w:bCs/>
        </w:rPr>
      </w:pPr>
      <w:r>
        <w:t>The customer, or tenant of the cu</w:t>
      </w:r>
      <w:r w:rsidR="00863AFB">
        <w:t>stomer</w:t>
      </w:r>
      <w:r w:rsidR="00ED5ACA">
        <w:t>, su</w:t>
      </w:r>
      <w:r w:rsidR="00312456">
        <w:t xml:space="preserve">bmits the certification of a primary care provider that </w:t>
      </w:r>
      <w:r w:rsidR="00922518">
        <w:t>dis</w:t>
      </w:r>
      <w:r w:rsidR="00460FDE">
        <w:t xml:space="preserve">continuation of residential service </w:t>
      </w:r>
      <w:r w:rsidR="008751E5">
        <w:t>would be life th</w:t>
      </w:r>
      <w:r w:rsidR="00595AB5">
        <w:t xml:space="preserve">reatening to, or pose a serious threat to the health and safety of </w:t>
      </w:r>
      <w:r w:rsidR="004032E1">
        <w:t xml:space="preserve">a resident of the premises and residential services is </w:t>
      </w:r>
      <w:r w:rsidR="0068021C">
        <w:t xml:space="preserve">provided and </w:t>
      </w:r>
    </w:p>
    <w:p w14:paraId="67586BD0" w14:textId="2807D98E" w:rsidR="0068021C" w:rsidRPr="00553014" w:rsidRDefault="00E921A7" w:rsidP="00AC495A">
      <w:pPr>
        <w:pStyle w:val="ListParagraph"/>
        <w:numPr>
          <w:ilvl w:val="5"/>
          <w:numId w:val="9"/>
        </w:numPr>
        <w:rPr>
          <w:b/>
          <w:bCs/>
        </w:rPr>
      </w:pPr>
      <w:r>
        <w:t xml:space="preserve">The customer </w:t>
      </w:r>
      <w:r w:rsidR="00806896">
        <w:t xml:space="preserve">demonstrates that the customer is financially </w:t>
      </w:r>
      <w:r w:rsidR="00A12F2A">
        <w:t xml:space="preserve">unable to pay for the service within </w:t>
      </w:r>
      <w:r w:rsidR="004A6E23">
        <w:t xml:space="preserve">the normal billing cycle, and the </w:t>
      </w:r>
      <w:r w:rsidR="00B854D2">
        <w:t>customer is willing to enter an alternative payment s</w:t>
      </w:r>
      <w:r w:rsidR="00417057">
        <w:t xml:space="preserve">chedule or a plan for deferred payment </w:t>
      </w:r>
      <w:r w:rsidR="00A83118">
        <w:t xml:space="preserve">with respect to all delinquent charges. </w:t>
      </w:r>
    </w:p>
    <w:p w14:paraId="3B290354" w14:textId="0C5605C7" w:rsidR="00553014" w:rsidRDefault="00553014" w:rsidP="00553014">
      <w:pPr>
        <w:rPr>
          <w:b/>
          <w:bCs/>
        </w:rPr>
      </w:pPr>
    </w:p>
    <w:p w14:paraId="5B2856FE" w14:textId="518356CC" w:rsidR="00553014" w:rsidRPr="00E467E4" w:rsidRDefault="00893A5C" w:rsidP="003A6456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Participation in an alternative payment schedule </w:t>
      </w:r>
    </w:p>
    <w:p w14:paraId="36A5B018" w14:textId="1322F560" w:rsidR="00E467E4" w:rsidRPr="00E467E4" w:rsidRDefault="00E467E4" w:rsidP="003A6456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Temporary deferral of payment </w:t>
      </w:r>
    </w:p>
    <w:p w14:paraId="3F2C1541" w14:textId="0A89E04E" w:rsidR="00E467E4" w:rsidRDefault="00E467E4" w:rsidP="001C3F60">
      <w:pPr>
        <w:pStyle w:val="ListParagraph"/>
        <w:ind w:left="1440"/>
      </w:pPr>
    </w:p>
    <w:p w14:paraId="666EC04A" w14:textId="72808BD6" w:rsidR="00831519" w:rsidRDefault="0064271A" w:rsidP="0083151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Residential </w:t>
      </w:r>
      <w:r w:rsidR="00DE1FCD">
        <w:rPr>
          <w:b/>
          <w:bCs/>
        </w:rPr>
        <w:t xml:space="preserve">Service may be disconnected no sooner </w:t>
      </w:r>
      <w:r w:rsidR="00141D94">
        <w:rPr>
          <w:b/>
          <w:bCs/>
        </w:rPr>
        <w:t xml:space="preserve">than </w:t>
      </w:r>
      <w:r w:rsidR="00B12188">
        <w:rPr>
          <w:b/>
          <w:bCs/>
        </w:rPr>
        <w:t>7</w:t>
      </w:r>
      <w:r>
        <w:rPr>
          <w:b/>
          <w:bCs/>
        </w:rPr>
        <w:t xml:space="preserve"> </w:t>
      </w:r>
      <w:r w:rsidR="00F35702">
        <w:rPr>
          <w:b/>
          <w:bCs/>
        </w:rPr>
        <w:t xml:space="preserve"> business days after </w:t>
      </w:r>
      <w:r w:rsidR="00A91B53">
        <w:rPr>
          <w:b/>
          <w:bCs/>
        </w:rPr>
        <w:t>the Le Grand Community Services District</w:t>
      </w:r>
      <w:r w:rsidR="00F35702">
        <w:rPr>
          <w:b/>
          <w:bCs/>
        </w:rPr>
        <w:t xml:space="preserve"> </w:t>
      </w:r>
      <w:r w:rsidR="00F176B4">
        <w:rPr>
          <w:b/>
          <w:bCs/>
        </w:rPr>
        <w:t xml:space="preserve">posts a </w:t>
      </w:r>
      <w:r w:rsidR="00F35702">
        <w:rPr>
          <w:b/>
          <w:bCs/>
        </w:rPr>
        <w:t>Final Notice</w:t>
      </w:r>
      <w:r w:rsidR="00F176B4">
        <w:rPr>
          <w:b/>
          <w:bCs/>
        </w:rPr>
        <w:t xml:space="preserve"> of intent to dis</w:t>
      </w:r>
      <w:r w:rsidR="00124900">
        <w:rPr>
          <w:b/>
          <w:bCs/>
        </w:rPr>
        <w:t xml:space="preserve">connect service </w:t>
      </w:r>
      <w:r w:rsidR="00850B8E">
        <w:rPr>
          <w:b/>
          <w:bCs/>
        </w:rPr>
        <w:t>is posted in a prominent and conspi</w:t>
      </w:r>
      <w:r w:rsidR="00FF4577">
        <w:rPr>
          <w:b/>
          <w:bCs/>
        </w:rPr>
        <w:t>cuous location at the property under either of the fo</w:t>
      </w:r>
      <w:r w:rsidR="00E53C59">
        <w:rPr>
          <w:b/>
          <w:bCs/>
        </w:rPr>
        <w:t xml:space="preserve">llowing circumstances: </w:t>
      </w:r>
    </w:p>
    <w:p w14:paraId="395E54A4" w14:textId="72E1E93F" w:rsidR="00E53C59" w:rsidRDefault="00E53C59" w:rsidP="00E53C59">
      <w:pPr>
        <w:pStyle w:val="ListParagraph"/>
        <w:ind w:left="900"/>
        <w:rPr>
          <w:b/>
          <w:bCs/>
        </w:rPr>
      </w:pPr>
    </w:p>
    <w:p w14:paraId="5FBE15A3" w14:textId="0252F3DC" w:rsidR="00E53C59" w:rsidRPr="009E537A" w:rsidRDefault="008F371A" w:rsidP="00E53C59">
      <w:pPr>
        <w:pStyle w:val="ListParagraph"/>
        <w:numPr>
          <w:ilvl w:val="0"/>
          <w:numId w:val="14"/>
        </w:numPr>
        <w:rPr>
          <w:b/>
          <w:bCs/>
        </w:rPr>
      </w:pPr>
      <w:r>
        <w:t xml:space="preserve">The customer fails to </w:t>
      </w:r>
      <w:r w:rsidR="003D7C04">
        <w:t>com</w:t>
      </w:r>
      <w:r w:rsidR="00FF2713">
        <w:t xml:space="preserve">ply with </w:t>
      </w:r>
      <w:r w:rsidR="009E537A">
        <w:t>the</w:t>
      </w:r>
      <w:r w:rsidR="001F5A0C">
        <w:t xml:space="preserve"> alternative payment schedule, or a </w:t>
      </w:r>
      <w:r w:rsidR="002178F7">
        <w:t xml:space="preserve">temporary </w:t>
      </w:r>
      <w:r w:rsidR="001F5A0C">
        <w:t xml:space="preserve">deferral </w:t>
      </w:r>
      <w:r w:rsidR="002178F7">
        <w:t xml:space="preserve">of payment </w:t>
      </w:r>
      <w:r w:rsidR="00F72A1D">
        <w:t xml:space="preserve">for delinquent charges for more than 60 days </w:t>
      </w:r>
      <w:r w:rsidR="007101D0">
        <w:t>or more</w:t>
      </w:r>
      <w:r w:rsidR="009E537A">
        <w:t>.</w:t>
      </w:r>
    </w:p>
    <w:p w14:paraId="4361F2FF" w14:textId="77777777" w:rsidR="009E537A" w:rsidRPr="007101D0" w:rsidRDefault="009E537A" w:rsidP="009E537A">
      <w:pPr>
        <w:pStyle w:val="ListParagraph"/>
        <w:ind w:left="1620"/>
        <w:rPr>
          <w:b/>
          <w:bCs/>
        </w:rPr>
      </w:pPr>
    </w:p>
    <w:p w14:paraId="631C81B6" w14:textId="42947DA0" w:rsidR="00443173" w:rsidRDefault="006B4A66" w:rsidP="005C0F09">
      <w:pPr>
        <w:pStyle w:val="ListParagraph"/>
        <w:numPr>
          <w:ilvl w:val="0"/>
          <w:numId w:val="14"/>
        </w:numPr>
      </w:pPr>
      <w:r>
        <w:t xml:space="preserve">While </w:t>
      </w:r>
      <w:r w:rsidR="00E06D54">
        <w:t xml:space="preserve">undertaking an </w:t>
      </w:r>
      <w:r w:rsidR="00154209">
        <w:t>am</w:t>
      </w:r>
      <w:r w:rsidR="00DC1D11">
        <w:t>ortization agreement, an al</w:t>
      </w:r>
      <w:r w:rsidR="00931B57">
        <w:t xml:space="preserve">ternative payment schedule, </w:t>
      </w:r>
      <w:r w:rsidR="005C0F09">
        <w:t xml:space="preserve">the </w:t>
      </w:r>
      <w:r w:rsidR="00190EA5">
        <w:t xml:space="preserve">customer does not pay his or her current residential charges for </w:t>
      </w:r>
      <w:r w:rsidR="000D1A11">
        <w:t xml:space="preserve">60 days or more. </w:t>
      </w:r>
    </w:p>
    <w:p w14:paraId="17FA6A75" w14:textId="77777777" w:rsidR="00376740" w:rsidRDefault="00376740" w:rsidP="00376740">
      <w:pPr>
        <w:pStyle w:val="ListParagraph"/>
      </w:pPr>
    </w:p>
    <w:p w14:paraId="55A437B8" w14:textId="5C7F5CA7" w:rsidR="00376740" w:rsidRDefault="00376740" w:rsidP="00376740">
      <w:pPr>
        <w:pStyle w:val="ListParagraph"/>
        <w:ind w:left="1620"/>
      </w:pPr>
    </w:p>
    <w:p w14:paraId="0978AF1E" w14:textId="1C12E085" w:rsidR="00443173" w:rsidRDefault="00355450" w:rsidP="0044317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Any residential </w:t>
      </w:r>
      <w:r w:rsidR="004C216C">
        <w:rPr>
          <w:b/>
          <w:bCs/>
        </w:rPr>
        <w:t>customer wh</w:t>
      </w:r>
      <w:r w:rsidR="0017708A">
        <w:rPr>
          <w:b/>
          <w:bCs/>
        </w:rPr>
        <w:t>o has initiated a complaint</w:t>
      </w:r>
      <w:r w:rsidR="00E43599">
        <w:rPr>
          <w:b/>
          <w:bCs/>
        </w:rPr>
        <w:t>, requested an appeal, or made a req</w:t>
      </w:r>
      <w:r w:rsidR="00C44AA1">
        <w:rPr>
          <w:b/>
          <w:bCs/>
        </w:rPr>
        <w:t xml:space="preserve">uest for a payment </w:t>
      </w:r>
      <w:r w:rsidR="00155D5A">
        <w:rPr>
          <w:b/>
          <w:bCs/>
        </w:rPr>
        <w:t xml:space="preserve">agreement, shall be </w:t>
      </w:r>
      <w:r w:rsidR="0004134D">
        <w:rPr>
          <w:b/>
          <w:bCs/>
        </w:rPr>
        <w:t xml:space="preserve">given the opportunity for review of said </w:t>
      </w:r>
      <w:r w:rsidR="00091E36">
        <w:rPr>
          <w:b/>
          <w:bCs/>
        </w:rPr>
        <w:t xml:space="preserve">complaint, </w:t>
      </w:r>
      <w:r w:rsidR="005166A2">
        <w:rPr>
          <w:b/>
          <w:bCs/>
        </w:rPr>
        <w:t>investigation,</w:t>
      </w:r>
      <w:r w:rsidR="00091E36">
        <w:rPr>
          <w:b/>
          <w:bCs/>
        </w:rPr>
        <w:t xml:space="preserve"> or payment agreement by Le Grand Community Services District. </w:t>
      </w:r>
    </w:p>
    <w:p w14:paraId="1B3C05EA" w14:textId="77777777" w:rsidR="005166A2" w:rsidRDefault="005166A2" w:rsidP="005166A2">
      <w:pPr>
        <w:pStyle w:val="ListParagraph"/>
        <w:ind w:left="900"/>
        <w:rPr>
          <w:b/>
          <w:bCs/>
        </w:rPr>
      </w:pPr>
    </w:p>
    <w:p w14:paraId="6D148EC8" w14:textId="206293A6" w:rsidR="005166A2" w:rsidRDefault="00751478" w:rsidP="005166A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The review </w:t>
      </w:r>
      <w:r w:rsidR="00F03106">
        <w:rPr>
          <w:b/>
          <w:bCs/>
        </w:rPr>
        <w:t xml:space="preserve">under Section 9 shall include consideration of whether </w:t>
      </w:r>
      <w:r w:rsidR="00DC177E">
        <w:rPr>
          <w:b/>
          <w:bCs/>
        </w:rPr>
        <w:t xml:space="preserve">the customer shall be permitted </w:t>
      </w:r>
      <w:r w:rsidR="00261519">
        <w:rPr>
          <w:b/>
          <w:bCs/>
        </w:rPr>
        <w:t xml:space="preserve">to start a payment agreement of the delinquent balance </w:t>
      </w:r>
      <w:r w:rsidR="006373A3">
        <w:rPr>
          <w:b/>
          <w:bCs/>
        </w:rPr>
        <w:t xml:space="preserve">of the account over a reasonable period of time, </w:t>
      </w:r>
      <w:r w:rsidR="000E4BC6">
        <w:rPr>
          <w:b/>
          <w:bCs/>
        </w:rPr>
        <w:t xml:space="preserve">not exceed </w:t>
      </w:r>
      <w:r w:rsidR="000204E9">
        <w:rPr>
          <w:b/>
          <w:bCs/>
        </w:rPr>
        <w:t xml:space="preserve">6 months </w:t>
      </w:r>
      <w:r w:rsidR="0056693A">
        <w:rPr>
          <w:b/>
          <w:bCs/>
        </w:rPr>
        <w:t>unless a longer period of ti</w:t>
      </w:r>
      <w:r w:rsidR="004E4F1C">
        <w:rPr>
          <w:b/>
          <w:bCs/>
        </w:rPr>
        <w:t>me is necessary</w:t>
      </w:r>
      <w:r w:rsidR="00EA0002">
        <w:rPr>
          <w:b/>
          <w:bCs/>
        </w:rPr>
        <w:t xml:space="preserve"> based upon the cir</w:t>
      </w:r>
      <w:r w:rsidR="00414ECC">
        <w:rPr>
          <w:b/>
          <w:bCs/>
        </w:rPr>
        <w:t>cumstances of the individual case.</w:t>
      </w:r>
    </w:p>
    <w:p w14:paraId="6FCB7714" w14:textId="35F7B810" w:rsidR="00A63C89" w:rsidRDefault="00A63C89" w:rsidP="00A63C89">
      <w:pPr>
        <w:pStyle w:val="ListParagraph"/>
        <w:rPr>
          <w:b/>
          <w:bCs/>
        </w:rPr>
      </w:pPr>
    </w:p>
    <w:p w14:paraId="7B5D1BD8" w14:textId="77777777" w:rsidR="00A63C89" w:rsidRPr="00A63C89" w:rsidRDefault="00A63C89" w:rsidP="00A63C89">
      <w:pPr>
        <w:pStyle w:val="ListParagraph"/>
        <w:rPr>
          <w:b/>
          <w:bCs/>
        </w:rPr>
      </w:pPr>
    </w:p>
    <w:p w14:paraId="00C7105D" w14:textId="5BDE0815" w:rsidR="00A63C89" w:rsidRDefault="00D50BF4" w:rsidP="005166A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No termination of service shall be </w:t>
      </w:r>
      <w:r w:rsidR="00397F1C">
        <w:rPr>
          <w:b/>
          <w:bCs/>
        </w:rPr>
        <w:t>affected</w:t>
      </w:r>
      <w:r>
        <w:rPr>
          <w:b/>
          <w:bCs/>
        </w:rPr>
        <w:t xml:space="preserve"> for any customer complying with the </w:t>
      </w:r>
      <w:r w:rsidR="00D541D8">
        <w:rPr>
          <w:b/>
          <w:bCs/>
        </w:rPr>
        <w:t xml:space="preserve">payment agreement, provided that the customer also keeps the account </w:t>
      </w:r>
      <w:r w:rsidR="00495F6C">
        <w:rPr>
          <w:b/>
          <w:bCs/>
        </w:rPr>
        <w:t>cu</w:t>
      </w:r>
      <w:r w:rsidR="00E872C8">
        <w:rPr>
          <w:b/>
          <w:bCs/>
        </w:rPr>
        <w:t>rrent as charges accrue in each subsequent billing p</w:t>
      </w:r>
      <w:r w:rsidR="00397F1C">
        <w:rPr>
          <w:b/>
          <w:bCs/>
        </w:rPr>
        <w:t xml:space="preserve">eriod. </w:t>
      </w:r>
    </w:p>
    <w:p w14:paraId="6FE8EF1C" w14:textId="77777777" w:rsidR="00397F1C" w:rsidRDefault="00397F1C" w:rsidP="00397F1C">
      <w:pPr>
        <w:pStyle w:val="ListParagraph"/>
        <w:ind w:left="900"/>
        <w:rPr>
          <w:b/>
          <w:bCs/>
        </w:rPr>
      </w:pPr>
    </w:p>
    <w:p w14:paraId="321E2AF7" w14:textId="29471753" w:rsidR="00397F1C" w:rsidRDefault="00DF41AF" w:rsidP="005166A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Restoration of Service </w:t>
      </w:r>
    </w:p>
    <w:p w14:paraId="425AB211" w14:textId="77777777" w:rsidR="00643A92" w:rsidRPr="00643A92" w:rsidRDefault="00643A92" w:rsidP="00643A92">
      <w:pPr>
        <w:pStyle w:val="ListParagraph"/>
        <w:rPr>
          <w:b/>
          <w:bCs/>
        </w:rPr>
      </w:pPr>
    </w:p>
    <w:p w14:paraId="2756A73E" w14:textId="6A222EDA" w:rsidR="00643A92" w:rsidRDefault="00643A92" w:rsidP="00643A92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If service is terminated, in order to restore service a service fee</w:t>
      </w:r>
      <w:r w:rsidR="00710868">
        <w:rPr>
          <w:b/>
          <w:bCs/>
        </w:rPr>
        <w:t xml:space="preserve"> up to $50 must be paid. If a deposit is not currently on the account a three (3) </w:t>
      </w:r>
      <w:r w:rsidR="00B36DF3">
        <w:rPr>
          <w:b/>
          <w:bCs/>
        </w:rPr>
        <w:t xml:space="preserve">month security deposit may be required. </w:t>
      </w:r>
    </w:p>
    <w:p w14:paraId="3C6C42FA" w14:textId="7FEE846F" w:rsidR="007B52A9" w:rsidRDefault="007B52A9" w:rsidP="007B52A9">
      <w:pPr>
        <w:pStyle w:val="ListParagraph"/>
        <w:ind w:left="1620"/>
        <w:rPr>
          <w:b/>
          <w:bCs/>
        </w:rPr>
      </w:pPr>
    </w:p>
    <w:p w14:paraId="7C5BA62F" w14:textId="56479EBF" w:rsidR="007B52A9" w:rsidRDefault="007B52A9" w:rsidP="007B52A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Options to Avert Dis</w:t>
      </w:r>
      <w:r w:rsidR="00E560E1">
        <w:rPr>
          <w:b/>
          <w:bCs/>
        </w:rPr>
        <w:t xml:space="preserve">continuation of Residential Water Service </w:t>
      </w:r>
    </w:p>
    <w:p w14:paraId="14A1EC57" w14:textId="22F48F1D" w:rsidR="00E560E1" w:rsidRDefault="00E560E1" w:rsidP="00E560E1">
      <w:pPr>
        <w:pStyle w:val="ListParagraph"/>
        <w:ind w:left="900"/>
        <w:rPr>
          <w:b/>
          <w:bCs/>
        </w:rPr>
      </w:pPr>
    </w:p>
    <w:p w14:paraId="1B230648" w14:textId="7BEEA534" w:rsidR="00E560E1" w:rsidRDefault="00E560E1" w:rsidP="00E560E1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Alter</w:t>
      </w:r>
      <w:r w:rsidR="00F164B1">
        <w:rPr>
          <w:b/>
          <w:bCs/>
        </w:rPr>
        <w:t xml:space="preserve">native </w:t>
      </w:r>
      <w:r w:rsidR="001324D1">
        <w:rPr>
          <w:b/>
          <w:bCs/>
        </w:rPr>
        <w:t xml:space="preserve">payment schedules </w:t>
      </w:r>
    </w:p>
    <w:p w14:paraId="0D44B008" w14:textId="2FACDF4D" w:rsidR="001037C0" w:rsidRDefault="001037C0" w:rsidP="00E560E1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Temporary deferment payments </w:t>
      </w:r>
    </w:p>
    <w:p w14:paraId="15FF6B29" w14:textId="6460AE35" w:rsidR="001037C0" w:rsidRDefault="005025BE" w:rsidP="00E560E1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Amortization of unpaid </w:t>
      </w:r>
      <w:r w:rsidR="00CA40E4">
        <w:rPr>
          <w:b/>
          <w:bCs/>
        </w:rPr>
        <w:t xml:space="preserve">balances </w:t>
      </w:r>
    </w:p>
    <w:p w14:paraId="046DA046" w14:textId="2C5EEC6C" w:rsidR="007B52A9" w:rsidRPr="007B52A9" w:rsidRDefault="007B52A9" w:rsidP="007B52A9">
      <w:pPr>
        <w:rPr>
          <w:b/>
          <w:bCs/>
        </w:rPr>
      </w:pPr>
    </w:p>
    <w:p w14:paraId="4DD95F49" w14:textId="77777777" w:rsidR="005166A2" w:rsidRPr="004F213D" w:rsidRDefault="005166A2" w:rsidP="005166A2">
      <w:pPr>
        <w:pStyle w:val="ListParagraph"/>
        <w:ind w:left="900"/>
        <w:rPr>
          <w:b/>
          <w:bCs/>
        </w:rPr>
      </w:pPr>
    </w:p>
    <w:p w14:paraId="56FE2C7F" w14:textId="4FAB2797" w:rsidR="007101D0" w:rsidRPr="003A6456" w:rsidRDefault="00800D71" w:rsidP="004F213D">
      <w:pPr>
        <w:pStyle w:val="ListParagraph"/>
        <w:ind w:left="1620"/>
        <w:rPr>
          <w:b/>
          <w:bCs/>
        </w:rPr>
      </w:pPr>
      <w:r>
        <w:t xml:space="preserve"> </w:t>
      </w:r>
      <w:r w:rsidR="00931B57">
        <w:t xml:space="preserve"> </w:t>
      </w:r>
    </w:p>
    <w:p w14:paraId="6D70F335" w14:textId="72886D3F" w:rsidR="00773CD9" w:rsidRDefault="00773CD9" w:rsidP="00773CD9">
      <w:pPr>
        <w:pStyle w:val="ListParagraph"/>
        <w:ind w:left="1620"/>
        <w:rPr>
          <w:b/>
          <w:bCs/>
        </w:rPr>
      </w:pPr>
    </w:p>
    <w:p w14:paraId="76D40AFC" w14:textId="77777777" w:rsidR="008E20A1" w:rsidRPr="000D5508" w:rsidRDefault="008E20A1" w:rsidP="00773CD9">
      <w:pPr>
        <w:pStyle w:val="ListParagraph"/>
        <w:ind w:left="1620"/>
        <w:rPr>
          <w:b/>
          <w:bCs/>
        </w:rPr>
      </w:pPr>
    </w:p>
    <w:p w14:paraId="152B7299" w14:textId="77777777" w:rsidR="00AF7D99" w:rsidRPr="005E30F2" w:rsidRDefault="00AF7D99" w:rsidP="00AF7D99">
      <w:pPr>
        <w:pStyle w:val="ListParagraph"/>
        <w:ind w:left="3060"/>
        <w:rPr>
          <w:b/>
          <w:bCs/>
        </w:rPr>
      </w:pPr>
    </w:p>
    <w:sectPr w:rsidR="00AF7D99" w:rsidRPr="005E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B4C"/>
    <w:multiLevelType w:val="hybridMultilevel"/>
    <w:tmpl w:val="1EE6DA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9F65A9C"/>
    <w:multiLevelType w:val="hybridMultilevel"/>
    <w:tmpl w:val="EA4046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81D5E"/>
    <w:multiLevelType w:val="hybridMultilevel"/>
    <w:tmpl w:val="A7501C1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9C54489"/>
    <w:multiLevelType w:val="hybridMultilevel"/>
    <w:tmpl w:val="0CCE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30E7"/>
    <w:multiLevelType w:val="hybridMultilevel"/>
    <w:tmpl w:val="B32C2E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F1D6459"/>
    <w:multiLevelType w:val="hybridMultilevel"/>
    <w:tmpl w:val="EDBCF63C"/>
    <w:lvl w:ilvl="0" w:tplc="04090009">
      <w:start w:val="1"/>
      <w:numFmt w:val="bullet"/>
      <w:lvlText w:val="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28E513A5"/>
    <w:multiLevelType w:val="hybridMultilevel"/>
    <w:tmpl w:val="70D869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F712EA7"/>
    <w:multiLevelType w:val="hybridMultilevel"/>
    <w:tmpl w:val="FBE64F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CF5B26"/>
    <w:multiLevelType w:val="hybridMultilevel"/>
    <w:tmpl w:val="0ACA20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CB3FEF"/>
    <w:multiLevelType w:val="hybridMultilevel"/>
    <w:tmpl w:val="53682A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E0C6A66"/>
    <w:multiLevelType w:val="hybridMultilevel"/>
    <w:tmpl w:val="8B2809C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30E2E"/>
    <w:multiLevelType w:val="hybridMultilevel"/>
    <w:tmpl w:val="730AB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E06228"/>
    <w:multiLevelType w:val="hybridMultilevel"/>
    <w:tmpl w:val="A3B61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B005B6"/>
    <w:multiLevelType w:val="hybridMultilevel"/>
    <w:tmpl w:val="B46897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7E734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7476491">
    <w:abstractNumId w:val="3"/>
  </w:num>
  <w:num w:numId="2" w16cid:durableId="688214943">
    <w:abstractNumId w:val="10"/>
  </w:num>
  <w:num w:numId="3" w16cid:durableId="1107892326">
    <w:abstractNumId w:val="1"/>
  </w:num>
  <w:num w:numId="4" w16cid:durableId="2089307327">
    <w:abstractNumId w:val="0"/>
  </w:num>
  <w:num w:numId="5" w16cid:durableId="1995260355">
    <w:abstractNumId w:val="2"/>
  </w:num>
  <w:num w:numId="6" w16cid:durableId="1849756685">
    <w:abstractNumId w:val="5"/>
  </w:num>
  <w:num w:numId="7" w16cid:durableId="1476951348">
    <w:abstractNumId w:val="13"/>
  </w:num>
  <w:num w:numId="8" w16cid:durableId="127743074">
    <w:abstractNumId w:val="6"/>
  </w:num>
  <w:num w:numId="9" w16cid:durableId="1098599085">
    <w:abstractNumId w:val="14"/>
  </w:num>
  <w:num w:numId="10" w16cid:durableId="671178948">
    <w:abstractNumId w:val="12"/>
  </w:num>
  <w:num w:numId="11" w16cid:durableId="1095706308">
    <w:abstractNumId w:val="7"/>
  </w:num>
  <w:num w:numId="12" w16cid:durableId="657684064">
    <w:abstractNumId w:val="8"/>
  </w:num>
  <w:num w:numId="13" w16cid:durableId="6952058">
    <w:abstractNumId w:val="11"/>
  </w:num>
  <w:num w:numId="14" w16cid:durableId="13263925">
    <w:abstractNumId w:val="4"/>
  </w:num>
  <w:num w:numId="15" w16cid:durableId="536696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66"/>
    <w:rsid w:val="000204E9"/>
    <w:rsid w:val="0002271E"/>
    <w:rsid w:val="0004134D"/>
    <w:rsid w:val="00055055"/>
    <w:rsid w:val="00081DC4"/>
    <w:rsid w:val="00087304"/>
    <w:rsid w:val="00091E36"/>
    <w:rsid w:val="000947C1"/>
    <w:rsid w:val="000B4591"/>
    <w:rsid w:val="000B4A37"/>
    <w:rsid w:val="000D1A11"/>
    <w:rsid w:val="000D2F41"/>
    <w:rsid w:val="000D5508"/>
    <w:rsid w:val="000E4BC6"/>
    <w:rsid w:val="000F26A8"/>
    <w:rsid w:val="001037C0"/>
    <w:rsid w:val="001233B8"/>
    <w:rsid w:val="00124900"/>
    <w:rsid w:val="001324D1"/>
    <w:rsid w:val="0014038E"/>
    <w:rsid w:val="00141D94"/>
    <w:rsid w:val="00154209"/>
    <w:rsid w:val="00155D5A"/>
    <w:rsid w:val="0015705C"/>
    <w:rsid w:val="0017708A"/>
    <w:rsid w:val="00190EA5"/>
    <w:rsid w:val="001A5107"/>
    <w:rsid w:val="001C3F60"/>
    <w:rsid w:val="001E70E3"/>
    <w:rsid w:val="001F5A0C"/>
    <w:rsid w:val="00216728"/>
    <w:rsid w:val="002178F7"/>
    <w:rsid w:val="00261519"/>
    <w:rsid w:val="002767BD"/>
    <w:rsid w:val="0028722D"/>
    <w:rsid w:val="00290DCA"/>
    <w:rsid w:val="002D238C"/>
    <w:rsid w:val="002E5BC2"/>
    <w:rsid w:val="00312456"/>
    <w:rsid w:val="003330D9"/>
    <w:rsid w:val="00355450"/>
    <w:rsid w:val="003636A1"/>
    <w:rsid w:val="00376740"/>
    <w:rsid w:val="00397F1C"/>
    <w:rsid w:val="003A1988"/>
    <w:rsid w:val="003A6456"/>
    <w:rsid w:val="003B579E"/>
    <w:rsid w:val="003D3D64"/>
    <w:rsid w:val="003D7C04"/>
    <w:rsid w:val="003E23B3"/>
    <w:rsid w:val="003E3262"/>
    <w:rsid w:val="003E3A55"/>
    <w:rsid w:val="004032E1"/>
    <w:rsid w:val="00414ECC"/>
    <w:rsid w:val="00417057"/>
    <w:rsid w:val="004217BD"/>
    <w:rsid w:val="00433CD4"/>
    <w:rsid w:val="00443173"/>
    <w:rsid w:val="00455040"/>
    <w:rsid w:val="00460FDE"/>
    <w:rsid w:val="0048217F"/>
    <w:rsid w:val="00493A2E"/>
    <w:rsid w:val="00495F6C"/>
    <w:rsid w:val="00496D96"/>
    <w:rsid w:val="004A6E23"/>
    <w:rsid w:val="004C216C"/>
    <w:rsid w:val="004C7B03"/>
    <w:rsid w:val="004D517F"/>
    <w:rsid w:val="004E4F1C"/>
    <w:rsid w:val="004F213D"/>
    <w:rsid w:val="005025BE"/>
    <w:rsid w:val="005166A2"/>
    <w:rsid w:val="00516E91"/>
    <w:rsid w:val="00553014"/>
    <w:rsid w:val="0056693A"/>
    <w:rsid w:val="00585655"/>
    <w:rsid w:val="00592B2C"/>
    <w:rsid w:val="00595AB5"/>
    <w:rsid w:val="005C0F09"/>
    <w:rsid w:val="005E30F2"/>
    <w:rsid w:val="00634611"/>
    <w:rsid w:val="006352CB"/>
    <w:rsid w:val="006373A3"/>
    <w:rsid w:val="006377C9"/>
    <w:rsid w:val="0064271A"/>
    <w:rsid w:val="00643A92"/>
    <w:rsid w:val="0068021C"/>
    <w:rsid w:val="00681139"/>
    <w:rsid w:val="006A7377"/>
    <w:rsid w:val="006B4A66"/>
    <w:rsid w:val="006C6A17"/>
    <w:rsid w:val="006F6258"/>
    <w:rsid w:val="00707387"/>
    <w:rsid w:val="007101D0"/>
    <w:rsid w:val="00710868"/>
    <w:rsid w:val="00723C8A"/>
    <w:rsid w:val="00751478"/>
    <w:rsid w:val="00773CD9"/>
    <w:rsid w:val="00781A8C"/>
    <w:rsid w:val="007A290A"/>
    <w:rsid w:val="007B52A9"/>
    <w:rsid w:val="007E14BB"/>
    <w:rsid w:val="00800D71"/>
    <w:rsid w:val="00806896"/>
    <w:rsid w:val="00813019"/>
    <w:rsid w:val="00831519"/>
    <w:rsid w:val="00850B8E"/>
    <w:rsid w:val="00863AFB"/>
    <w:rsid w:val="0086516A"/>
    <w:rsid w:val="008751E5"/>
    <w:rsid w:val="00890BB1"/>
    <w:rsid w:val="00893A5C"/>
    <w:rsid w:val="008A701A"/>
    <w:rsid w:val="008D41FD"/>
    <w:rsid w:val="008E1DFD"/>
    <w:rsid w:val="008E20A1"/>
    <w:rsid w:val="008F371A"/>
    <w:rsid w:val="00902BE6"/>
    <w:rsid w:val="00922518"/>
    <w:rsid w:val="00931B57"/>
    <w:rsid w:val="009358E1"/>
    <w:rsid w:val="00937A4E"/>
    <w:rsid w:val="009B444E"/>
    <w:rsid w:val="009E537A"/>
    <w:rsid w:val="009F0280"/>
    <w:rsid w:val="009F2097"/>
    <w:rsid w:val="009F5109"/>
    <w:rsid w:val="00A05E97"/>
    <w:rsid w:val="00A05E98"/>
    <w:rsid w:val="00A12F2A"/>
    <w:rsid w:val="00A32E75"/>
    <w:rsid w:val="00A421DB"/>
    <w:rsid w:val="00A576DE"/>
    <w:rsid w:val="00A61E2F"/>
    <w:rsid w:val="00A63C89"/>
    <w:rsid w:val="00A76AE2"/>
    <w:rsid w:val="00A83118"/>
    <w:rsid w:val="00A833AF"/>
    <w:rsid w:val="00A91B53"/>
    <w:rsid w:val="00AC495A"/>
    <w:rsid w:val="00AC4B5B"/>
    <w:rsid w:val="00AD2354"/>
    <w:rsid w:val="00AE43F7"/>
    <w:rsid w:val="00AF7D99"/>
    <w:rsid w:val="00B12188"/>
    <w:rsid w:val="00B24166"/>
    <w:rsid w:val="00B36DF3"/>
    <w:rsid w:val="00B6173B"/>
    <w:rsid w:val="00B6393B"/>
    <w:rsid w:val="00B65A8F"/>
    <w:rsid w:val="00B854D2"/>
    <w:rsid w:val="00BC5609"/>
    <w:rsid w:val="00BF67C8"/>
    <w:rsid w:val="00C05E70"/>
    <w:rsid w:val="00C15FF0"/>
    <w:rsid w:val="00C27798"/>
    <w:rsid w:val="00C44AA1"/>
    <w:rsid w:val="00C7566B"/>
    <w:rsid w:val="00C95957"/>
    <w:rsid w:val="00CA40E4"/>
    <w:rsid w:val="00CD204B"/>
    <w:rsid w:val="00CD30F5"/>
    <w:rsid w:val="00CD4E05"/>
    <w:rsid w:val="00CE2C01"/>
    <w:rsid w:val="00CE4934"/>
    <w:rsid w:val="00CE6279"/>
    <w:rsid w:val="00CF2034"/>
    <w:rsid w:val="00D030EC"/>
    <w:rsid w:val="00D276BD"/>
    <w:rsid w:val="00D34492"/>
    <w:rsid w:val="00D50BF4"/>
    <w:rsid w:val="00D541D8"/>
    <w:rsid w:val="00D65F7D"/>
    <w:rsid w:val="00D830E3"/>
    <w:rsid w:val="00DB0274"/>
    <w:rsid w:val="00DC0436"/>
    <w:rsid w:val="00DC177E"/>
    <w:rsid w:val="00DC1D11"/>
    <w:rsid w:val="00DC569A"/>
    <w:rsid w:val="00DC779B"/>
    <w:rsid w:val="00DD5D92"/>
    <w:rsid w:val="00DE1FCD"/>
    <w:rsid w:val="00DF41AF"/>
    <w:rsid w:val="00E06D54"/>
    <w:rsid w:val="00E317C0"/>
    <w:rsid w:val="00E43599"/>
    <w:rsid w:val="00E467E4"/>
    <w:rsid w:val="00E53C59"/>
    <w:rsid w:val="00E560E1"/>
    <w:rsid w:val="00E8113A"/>
    <w:rsid w:val="00E872C8"/>
    <w:rsid w:val="00E921A7"/>
    <w:rsid w:val="00E96399"/>
    <w:rsid w:val="00EA0002"/>
    <w:rsid w:val="00EA65E8"/>
    <w:rsid w:val="00EC0C6B"/>
    <w:rsid w:val="00EC1D73"/>
    <w:rsid w:val="00EC48DF"/>
    <w:rsid w:val="00EC531E"/>
    <w:rsid w:val="00ED2D0A"/>
    <w:rsid w:val="00ED4FFF"/>
    <w:rsid w:val="00ED5ACA"/>
    <w:rsid w:val="00ED63D8"/>
    <w:rsid w:val="00F03106"/>
    <w:rsid w:val="00F164B1"/>
    <w:rsid w:val="00F16AED"/>
    <w:rsid w:val="00F176B4"/>
    <w:rsid w:val="00F35702"/>
    <w:rsid w:val="00F51C10"/>
    <w:rsid w:val="00F54523"/>
    <w:rsid w:val="00F55B49"/>
    <w:rsid w:val="00F72A1D"/>
    <w:rsid w:val="00FA3F35"/>
    <w:rsid w:val="00FB43BF"/>
    <w:rsid w:val="00FC3AAA"/>
    <w:rsid w:val="00FE3324"/>
    <w:rsid w:val="00FE3EFA"/>
    <w:rsid w:val="00FF271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52FF"/>
  <w15:chartTrackingRefBased/>
  <w15:docId w15:val="{1CC23073-6955-4A91-99A8-03BDA404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Benavidez</dc:creator>
  <cp:keywords/>
  <dc:description/>
  <cp:lastModifiedBy>Cynthia Benavidez</cp:lastModifiedBy>
  <cp:revision>2</cp:revision>
  <dcterms:created xsi:type="dcterms:W3CDTF">2025-03-26T15:34:00Z</dcterms:created>
  <dcterms:modified xsi:type="dcterms:W3CDTF">2025-03-26T15:34:00Z</dcterms:modified>
</cp:coreProperties>
</file>